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b/>
          <w:color w:val="000000"/>
        </w:rPr>
      </w:pPr>
      <w:bookmarkStart w:id="0" w:name="_GoBack"/>
      <w:bookmarkEnd w:id="0"/>
      <w:r>
        <w:rPr>
          <w:rFonts w:ascii="Calibri" w:eastAsia="Calibri" w:hAnsi="Calibri" w:cs="Calibri"/>
          <w:b/>
          <w:color w:val="000000"/>
        </w:rPr>
        <w:t xml:space="preserve">Values and Principles Underpinning a Personal Outcomes Approach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Personal Outcomes Network, Scotland, May 2016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8" w:line="279" w:lineRule="auto"/>
        <w:ind w:left="14" w:right="-5" w:hanging="8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The aim of a personal outcomes approach is to ensure that people using services and their family or unpaid</w:t>
      </w:r>
      <w:r>
        <w:rPr>
          <w:rFonts w:ascii="Calibri" w:eastAsia="Calibri" w:hAnsi="Calibri" w:cs="Calibri"/>
          <w:color w:val="000000"/>
        </w:rPr>
        <w:t xml:space="preserve"> carers are supported to live the best lives possible, building on their own capabilities. It ensures</w:t>
      </w:r>
      <w:r>
        <w:rPr>
          <w:rFonts w:ascii="Calibri" w:eastAsia="Calibri" w:hAnsi="Calibri" w:cs="Calibri"/>
          <w:color w:val="000000"/>
        </w:rPr>
        <w:t xml:space="preserve"> that organisations focus resources on the impa</w:t>
      </w:r>
      <w:r>
        <w:rPr>
          <w:rFonts w:ascii="Calibri" w:eastAsia="Calibri" w:hAnsi="Calibri" w:cs="Calibri"/>
          <w:color w:val="000000"/>
        </w:rPr>
        <w:t>ct they have as well as the activities undertaken</w:t>
      </w:r>
      <w:r>
        <w:rPr>
          <w:rFonts w:ascii="Calibri" w:eastAsia="Calibri" w:hAnsi="Calibri" w:cs="Calibri"/>
          <w:color w:val="000000"/>
        </w:rPr>
        <w:t xml:space="preserve">. The intended audience here is practitioners and managers in diverse roles within multi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 w:line="280" w:lineRule="auto"/>
        <w:ind w:left="13" w:right="-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sectoral organisations in health, social care and related services, with the aim of supporting consistent understanding of the values and principles involved. Further evidence, examples and practical</w:t>
      </w:r>
      <w:r>
        <w:rPr>
          <w:rFonts w:ascii="Calibri" w:eastAsia="Calibri" w:hAnsi="Calibri" w:cs="Calibri"/>
          <w:color w:val="000000"/>
        </w:rPr>
        <w:t xml:space="preserve"> support for implementation are available via the weblin</w:t>
      </w:r>
      <w:r>
        <w:rPr>
          <w:rFonts w:ascii="Calibri" w:eastAsia="Calibri" w:hAnsi="Calibri" w:cs="Calibri"/>
          <w:color w:val="000000"/>
        </w:rPr>
        <w:t xml:space="preserve">ks below.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40" w:lineRule="auto"/>
        <w:ind w:left="13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Overview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8" w:line="281" w:lineRule="auto"/>
        <w:ind w:left="14" w:right="-4" w:hanging="8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The move towards personal outcomes prioritises good conversations with people about what matters</w:t>
      </w:r>
      <w:r>
        <w:rPr>
          <w:rFonts w:ascii="Calibri" w:eastAsia="Calibri" w:hAnsi="Calibri" w:cs="Calibri"/>
          <w:color w:val="000000"/>
        </w:rPr>
        <w:t xml:space="preserve"> to them, over gathering data for organisational purposes. It is underpinned by the principle of</w:t>
      </w:r>
      <w:r>
        <w:rPr>
          <w:rFonts w:ascii="Calibri" w:eastAsia="Calibri" w:hAnsi="Calibri" w:cs="Calibri"/>
          <w:color w:val="000000"/>
        </w:rPr>
        <w:t xml:space="preserve"> enabling people to participate in maki</w:t>
      </w:r>
      <w:r>
        <w:rPr>
          <w:rFonts w:ascii="Calibri" w:eastAsia="Calibri" w:hAnsi="Calibri" w:cs="Calibri"/>
          <w:color w:val="000000"/>
        </w:rPr>
        <w:t xml:space="preserve">ng decisions which impact on their human rights.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0" w:line="279" w:lineRule="auto"/>
        <w:ind w:left="6" w:right="-6" w:hanging="1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This shift towards personal outcomes is now embedded in the Scottish policy context, including through</w:t>
      </w:r>
      <w:r>
        <w:rPr>
          <w:rFonts w:ascii="Calibri" w:eastAsia="Calibri" w:hAnsi="Calibri" w:cs="Calibri"/>
          <w:color w:val="000000"/>
        </w:rPr>
        <w:t xml:space="preserve"> the transformation of public services, Getting It Right For Every Child (GIRFEC), Self-Directed Support</w:t>
      </w:r>
      <w:r>
        <w:rPr>
          <w:rFonts w:ascii="Calibri" w:eastAsia="Calibri" w:hAnsi="Calibri" w:cs="Calibri"/>
          <w:color w:val="000000"/>
        </w:rPr>
        <w:t xml:space="preserve"> (SDS), person-centred practice and health and s</w:t>
      </w:r>
      <w:r>
        <w:rPr>
          <w:rFonts w:ascii="Calibri" w:eastAsia="Calibri" w:hAnsi="Calibri" w:cs="Calibri"/>
          <w:color w:val="000000"/>
        </w:rPr>
        <w:t>ocial care integration. This means that organisations</w:t>
      </w:r>
      <w:r>
        <w:rPr>
          <w:rFonts w:ascii="Calibri" w:eastAsia="Calibri" w:hAnsi="Calibri" w:cs="Calibri"/>
          <w:color w:val="000000"/>
        </w:rPr>
        <w:t xml:space="preserve"> adopting a personal outcomes approach are well placed to address associated requirements</w:t>
      </w:r>
      <w:r>
        <w:rPr>
          <w:rFonts w:ascii="Calibri" w:eastAsia="Calibri" w:hAnsi="Calibri" w:cs="Calibri"/>
          <w:color w:val="000000"/>
        </w:rPr>
        <w:t xml:space="preserve">. Collated information about outcomes can also inform local service improvements.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40" w:lineRule="auto"/>
        <w:ind w:left="23"/>
        <w:rPr>
          <w:rFonts w:ascii="Calibri" w:eastAsia="Calibri" w:hAnsi="Calibri" w:cs="Calibri"/>
          <w:color w:val="000000"/>
          <w:sz w:val="13"/>
          <w:szCs w:val="13"/>
        </w:rPr>
      </w:pPr>
      <w:r>
        <w:rPr>
          <w:rFonts w:ascii="Calibri" w:eastAsia="Calibri" w:hAnsi="Calibri" w:cs="Calibri"/>
          <w:color w:val="000000"/>
        </w:rPr>
        <w:t>Figure 1: Outcomes at the he</w:t>
      </w:r>
      <w:r>
        <w:rPr>
          <w:rFonts w:ascii="Calibri" w:eastAsia="Calibri" w:hAnsi="Calibri" w:cs="Calibri"/>
          <w:color w:val="000000"/>
        </w:rPr>
        <w:t>art of policy in Scotland</w:t>
      </w:r>
      <w:r>
        <w:rPr>
          <w:rFonts w:ascii="Calibri" w:eastAsia="Calibri" w:hAnsi="Calibri" w:cs="Calibri"/>
          <w:color w:val="000000"/>
          <w:sz w:val="23"/>
          <w:szCs w:val="23"/>
          <w:vertAlign w:val="superscript"/>
        </w:rPr>
        <w:t>i</w:t>
      </w:r>
      <w:r>
        <w:rPr>
          <w:rFonts w:ascii="Calibri" w:eastAsia="Calibri" w:hAnsi="Calibri" w:cs="Calibri"/>
          <w:color w:val="000000"/>
          <w:sz w:val="13"/>
          <w:szCs w:val="13"/>
        </w:rPr>
        <w:t xml:space="preserve">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1" w:line="240" w:lineRule="auto"/>
        <w:jc w:val="center"/>
        <w:rPr>
          <w:rFonts w:ascii="Calibri" w:eastAsia="Calibri" w:hAnsi="Calibri" w:cs="Calibri"/>
          <w:color w:val="000000"/>
          <w:sz w:val="13"/>
          <w:szCs w:val="13"/>
        </w:rPr>
      </w:pPr>
      <w:r>
        <w:rPr>
          <w:rFonts w:ascii="Calibri" w:eastAsia="Calibri" w:hAnsi="Calibri" w:cs="Calibri"/>
          <w:noProof/>
          <w:color w:val="000000"/>
          <w:sz w:val="13"/>
          <w:szCs w:val="13"/>
        </w:rPr>
        <w:drawing>
          <wp:inline distT="19050" distB="19050" distL="19050" distR="19050">
            <wp:extent cx="2968498" cy="2783205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68498" cy="27832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82" w:lineRule="auto"/>
        <w:ind w:left="21" w:right="-4" w:hanging="15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This evidence-based approach begins with a ‘good conversation’ to find out what matters to the person</w:t>
      </w:r>
      <w:r>
        <w:rPr>
          <w:rFonts w:ascii="Calibri" w:eastAsia="Calibri" w:hAnsi="Calibri" w:cs="Calibri"/>
          <w:color w:val="000000"/>
        </w:rPr>
        <w:t xml:space="preserve">. This might be different for the person compared to the family carer who supports them.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9" w:line="282" w:lineRule="auto"/>
        <w:ind w:left="21" w:right="-5" w:firstLine="5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It means taking account of the person’s own abilities, achievements and assets (including people, places</w:t>
      </w:r>
      <w:r>
        <w:rPr>
          <w:rFonts w:ascii="Calibri" w:eastAsia="Calibri" w:hAnsi="Calibri" w:cs="Calibri"/>
          <w:color w:val="000000"/>
        </w:rPr>
        <w:t xml:space="preserve">, community), as well as ensuring effective use of resources.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82" w:lineRule="auto"/>
        <w:ind w:left="21" w:right="-5" w:hanging="1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A key shift is to start by identifying what the person wants to achieve, and then thinki</w:t>
      </w:r>
      <w:r>
        <w:rPr>
          <w:rFonts w:ascii="Calibri" w:eastAsia="Calibri" w:hAnsi="Calibri" w:cs="Calibri"/>
          <w:color w:val="000000"/>
        </w:rPr>
        <w:t>ng through how</w:t>
      </w:r>
      <w:r>
        <w:rPr>
          <w:rFonts w:ascii="Calibri" w:eastAsia="Calibri" w:hAnsi="Calibri" w:cs="Calibri"/>
          <w:color w:val="000000"/>
        </w:rPr>
        <w:t xml:space="preserve"> to achieve that outcome.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9" w:line="280" w:lineRule="auto"/>
        <w:ind w:left="6" w:right="-5" w:hanging="1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This means thinking through ‘why’ something is important as well as any action required. Ultimately, the</w:t>
      </w:r>
      <w:r>
        <w:rPr>
          <w:rFonts w:ascii="Calibri" w:eastAsia="Calibri" w:hAnsi="Calibri" w:cs="Calibri"/>
          <w:color w:val="000000"/>
        </w:rPr>
        <w:t xml:space="preserve"> focus on personal outcomes provides opportunities for the person to reflect on their own life, reduce</w:t>
      </w:r>
      <w:r>
        <w:rPr>
          <w:rFonts w:ascii="Calibri" w:eastAsia="Calibri" w:hAnsi="Calibri" w:cs="Calibri"/>
          <w:color w:val="000000"/>
        </w:rPr>
        <w:t xml:space="preserve"> the assumptions made by others and improve unde</w:t>
      </w:r>
      <w:r>
        <w:rPr>
          <w:rFonts w:ascii="Calibri" w:eastAsia="Calibri" w:hAnsi="Calibri" w:cs="Calibri"/>
          <w:color w:val="000000"/>
        </w:rPr>
        <w:t xml:space="preserve">rstanding between all involved.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40" w:lineRule="auto"/>
        <w:ind w:left="23"/>
        <w:rPr>
          <w:rFonts w:ascii="Calibri" w:eastAsia="Calibri" w:hAnsi="Calibri" w:cs="Calibri"/>
          <w:color w:val="000000"/>
          <w:sz w:val="13"/>
          <w:szCs w:val="13"/>
        </w:rPr>
      </w:pPr>
      <w:r>
        <w:rPr>
          <w:rFonts w:ascii="Calibri" w:eastAsia="Calibri" w:hAnsi="Calibri" w:cs="Calibri"/>
          <w:color w:val="000000"/>
        </w:rPr>
        <w:t>Figure 1: Triad of Understanding</w:t>
      </w:r>
      <w:r>
        <w:rPr>
          <w:rFonts w:ascii="Calibri" w:eastAsia="Calibri" w:hAnsi="Calibri" w:cs="Calibri"/>
          <w:color w:val="000000"/>
          <w:sz w:val="23"/>
          <w:szCs w:val="23"/>
          <w:vertAlign w:val="superscript"/>
        </w:rPr>
        <w:t>ii</w:t>
      </w:r>
      <w:r>
        <w:rPr>
          <w:rFonts w:ascii="Calibri" w:eastAsia="Calibri" w:hAnsi="Calibri" w:cs="Calibri"/>
          <w:color w:val="000000"/>
          <w:sz w:val="13"/>
          <w:szCs w:val="13"/>
        </w:rPr>
        <w:t xml:space="preserve">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9" w:line="240" w:lineRule="auto"/>
        <w:jc w:val="center"/>
        <w:rPr>
          <w:rFonts w:ascii="Calibri" w:eastAsia="Calibri" w:hAnsi="Calibri" w:cs="Calibri"/>
          <w:color w:val="000000"/>
          <w:sz w:val="13"/>
          <w:szCs w:val="13"/>
        </w:rPr>
      </w:pPr>
      <w:r>
        <w:rPr>
          <w:rFonts w:ascii="Calibri" w:eastAsia="Calibri" w:hAnsi="Calibri" w:cs="Calibri"/>
          <w:noProof/>
          <w:color w:val="000000"/>
          <w:sz w:val="13"/>
          <w:szCs w:val="13"/>
        </w:rPr>
        <w:drawing>
          <wp:inline distT="19050" distB="19050" distL="19050" distR="19050">
            <wp:extent cx="3416300" cy="256032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16300" cy="25603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80" w:lineRule="auto"/>
        <w:ind w:left="19" w:right="-6" w:hanging="12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The components of a personal outcomes approach have been defined as engagement, recording and use</w:t>
      </w:r>
      <w:r>
        <w:rPr>
          <w:rFonts w:ascii="Calibri" w:eastAsia="Calibri" w:hAnsi="Calibri" w:cs="Calibri"/>
          <w:color w:val="000000"/>
        </w:rPr>
        <w:t xml:space="preserve"> of </w:t>
      </w:r>
      <w:proofErr w:type="spellStart"/>
      <w:r>
        <w:rPr>
          <w:rFonts w:ascii="Calibri" w:eastAsia="Calibri" w:hAnsi="Calibri" w:cs="Calibri"/>
          <w:color w:val="000000"/>
        </w:rPr>
        <w:t>information</w:t>
      </w:r>
      <w:r>
        <w:rPr>
          <w:rFonts w:ascii="Calibri" w:eastAsia="Calibri" w:hAnsi="Calibri" w:cs="Calibri"/>
          <w:color w:val="000000"/>
          <w:sz w:val="23"/>
          <w:szCs w:val="23"/>
          <w:vertAlign w:val="superscript"/>
        </w:rPr>
        <w:t>iii</w:t>
      </w:r>
      <w:proofErr w:type="spellEnd"/>
      <w:r>
        <w:rPr>
          <w:rFonts w:ascii="Calibri" w:eastAsia="Calibri" w:hAnsi="Calibri" w:cs="Calibri"/>
          <w:color w:val="000000"/>
        </w:rPr>
        <w:t>. Each component requires attention in its own right, but the feedback loop between</w:t>
      </w:r>
      <w:r>
        <w:rPr>
          <w:rFonts w:ascii="Calibri" w:eastAsia="Calibri" w:hAnsi="Calibri" w:cs="Calibri"/>
          <w:color w:val="000000"/>
        </w:rPr>
        <w:t xml:space="preserve"> frontline practice and organisational use of information is important to realise the benefits.  Learning from the Meaningful and Measurable project has demonstrated that w</w:t>
      </w:r>
      <w:r>
        <w:rPr>
          <w:rFonts w:ascii="Calibri" w:eastAsia="Calibri" w:hAnsi="Calibri" w:cs="Calibri"/>
          <w:color w:val="000000"/>
        </w:rPr>
        <w:t>ith regard to using information</w:t>
      </w:r>
      <w:r>
        <w:rPr>
          <w:rFonts w:ascii="Calibri" w:eastAsia="Calibri" w:hAnsi="Calibri" w:cs="Calibri"/>
          <w:color w:val="000000"/>
        </w:rPr>
        <w:t>, and particularly for understanding performance, the focus should start with what is important</w:t>
      </w:r>
      <w:r>
        <w:rPr>
          <w:rFonts w:ascii="Calibri" w:eastAsia="Calibri" w:hAnsi="Calibri" w:cs="Calibri"/>
          <w:color w:val="000000"/>
        </w:rPr>
        <w:t xml:space="preserve"> to the person, with relevant recorded information feeding up to meet other information requirements</w:t>
      </w:r>
      <w:r>
        <w:rPr>
          <w:rFonts w:ascii="Calibri" w:eastAsia="Calibri" w:hAnsi="Calibri" w:cs="Calibri"/>
          <w:color w:val="000000"/>
        </w:rPr>
        <w:t>. Ideally measures should f</w:t>
      </w:r>
      <w:r>
        <w:rPr>
          <w:rFonts w:ascii="Calibri" w:eastAsia="Calibri" w:hAnsi="Calibri" w:cs="Calibri"/>
          <w:color w:val="000000"/>
        </w:rPr>
        <w:t>low as a by-product of good conversations, rather than high level</w:t>
      </w:r>
      <w:r>
        <w:rPr>
          <w:rFonts w:ascii="Calibri" w:eastAsia="Calibri" w:hAnsi="Calibri" w:cs="Calibri"/>
          <w:color w:val="000000"/>
        </w:rPr>
        <w:t xml:space="preserve"> measures and information requirements restricting interactions (see links below).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40" w:lineRule="auto"/>
        <w:ind w:left="6"/>
        <w:rPr>
          <w:rFonts w:ascii="Calibri" w:eastAsia="Calibri" w:hAnsi="Calibri" w:cs="Calibri"/>
          <w:color w:val="000000"/>
          <w:sz w:val="13"/>
          <w:szCs w:val="13"/>
        </w:rPr>
      </w:pPr>
      <w:r>
        <w:rPr>
          <w:rFonts w:ascii="Calibri" w:eastAsia="Calibri" w:hAnsi="Calibri" w:cs="Calibri"/>
          <w:color w:val="000000"/>
        </w:rPr>
        <w:t>Table 1: From personal to national outcomes</w:t>
      </w:r>
      <w:r>
        <w:rPr>
          <w:rFonts w:ascii="Calibri" w:eastAsia="Calibri" w:hAnsi="Calibri" w:cs="Calibri"/>
          <w:color w:val="000000"/>
          <w:sz w:val="23"/>
          <w:szCs w:val="23"/>
          <w:vertAlign w:val="superscript"/>
        </w:rPr>
        <w:t>iv</w:t>
      </w:r>
      <w:r>
        <w:rPr>
          <w:rFonts w:ascii="Calibri" w:eastAsia="Calibri" w:hAnsi="Calibri" w:cs="Calibri"/>
          <w:color w:val="000000"/>
          <w:sz w:val="13"/>
          <w:szCs w:val="13"/>
        </w:rPr>
        <w:t xml:space="preserve"> </w:t>
      </w:r>
    </w:p>
    <w:tbl>
      <w:tblPr>
        <w:tblStyle w:val="a"/>
        <w:tblW w:w="89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06"/>
        <w:gridCol w:w="3238"/>
        <w:gridCol w:w="3687"/>
      </w:tblGrid>
      <w:tr w:rsidR="00CF1000">
        <w:trPr>
          <w:trHeight w:val="278"/>
        </w:trPr>
        <w:tc>
          <w:tcPr>
            <w:tcW w:w="20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1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Outcome level </w:t>
            </w:r>
          </w:p>
        </w:tc>
        <w:tc>
          <w:tcPr>
            <w:tcW w:w="3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8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Focus </w:t>
            </w:r>
          </w:p>
        </w:tc>
        <w:tc>
          <w:tcPr>
            <w:tcW w:w="36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8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Example </w:t>
            </w:r>
          </w:p>
        </w:tc>
      </w:tr>
      <w:tr w:rsidR="00CF1000">
        <w:trPr>
          <w:trHeight w:val="938"/>
        </w:trPr>
        <w:tc>
          <w:tcPr>
            <w:tcW w:w="20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Individual/personal </w:t>
            </w:r>
          </w:p>
        </w:tc>
        <w:tc>
          <w:tcPr>
            <w:tcW w:w="3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27" w:right="53" w:firstLine="4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Defined by the person as what is important</w:t>
            </w:r>
            <w:r>
              <w:rPr>
                <w:rFonts w:ascii="Calibri" w:eastAsia="Calibri" w:hAnsi="Calibri" w:cs="Calibri"/>
                <w:color w:val="000000"/>
              </w:rPr>
              <w:t xml:space="preserve"> to them in life </w:t>
            </w:r>
          </w:p>
        </w:tc>
        <w:tc>
          <w:tcPr>
            <w:tcW w:w="36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29" w:right="55" w:firstLine="1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I want to be able to get back to the bowling</w:t>
            </w:r>
            <w:r>
              <w:rPr>
                <w:rFonts w:ascii="Calibri" w:eastAsia="Calibri" w:hAnsi="Calibri" w:cs="Calibri"/>
                <w:color w:val="000000"/>
              </w:rPr>
              <w:t xml:space="preserve"> club to keep active and see my</w:t>
            </w:r>
            <w:r>
              <w:rPr>
                <w:rFonts w:ascii="Calibri" w:eastAsia="Calibri" w:hAnsi="Calibri" w:cs="Calibri"/>
                <w:color w:val="000000"/>
              </w:rPr>
              <w:t xml:space="preserve"> friends </w:t>
            </w:r>
          </w:p>
        </w:tc>
      </w:tr>
      <w:tr w:rsidR="00CF1000">
        <w:trPr>
          <w:trHeight w:val="979"/>
        </w:trPr>
        <w:tc>
          <w:tcPr>
            <w:tcW w:w="20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Service/project </w:t>
            </w:r>
          </w:p>
        </w:tc>
        <w:tc>
          <w:tcPr>
            <w:tcW w:w="3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22" w:right="53" w:firstLine="8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Defined by a project or service as a</w:t>
            </w:r>
            <w:r>
              <w:rPr>
                <w:rFonts w:ascii="Calibri" w:eastAsia="Calibri" w:hAnsi="Calibri" w:cs="Calibri"/>
                <w:color w:val="000000"/>
              </w:rPr>
              <w:t xml:space="preserve"> key focus to work towards with people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36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16" w:right="53" w:firstLine="3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 work with older people to improve their</w:t>
            </w:r>
            <w:r>
              <w:rPr>
                <w:rFonts w:ascii="Calibri" w:eastAsia="Calibri" w:hAnsi="Calibri" w:cs="Calibri"/>
                <w:color w:val="000000"/>
              </w:rPr>
              <w:t xml:space="preserve"> mobility and ability to live independently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CF1000">
        <w:trPr>
          <w:trHeight w:val="1464"/>
        </w:trPr>
        <w:tc>
          <w:tcPr>
            <w:tcW w:w="20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23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lastRenderedPageBreak/>
              <w:t xml:space="preserve">Organisational </w:t>
            </w:r>
          </w:p>
        </w:tc>
        <w:tc>
          <w:tcPr>
            <w:tcW w:w="3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18" w:right="51" w:firstLine="1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Defined by a local authority, NHS board</w:t>
            </w:r>
            <w:r>
              <w:rPr>
                <w:rFonts w:ascii="Calibri" w:eastAsia="Calibri" w:hAnsi="Calibri" w:cs="Calibri"/>
                <w:color w:val="000000"/>
              </w:rPr>
              <w:t xml:space="preserve"> or provider as a key area to work</w:t>
            </w:r>
            <w:r>
              <w:rPr>
                <w:rFonts w:ascii="Calibri" w:eastAsia="Calibri" w:hAnsi="Calibri" w:cs="Calibri"/>
                <w:color w:val="000000"/>
              </w:rPr>
              <w:t xml:space="preserve"> towards. Will increasingly be</w:t>
            </w:r>
            <w:r>
              <w:rPr>
                <w:rFonts w:ascii="Calibri" w:eastAsia="Calibri" w:hAnsi="Calibri" w:cs="Calibri"/>
                <w:color w:val="000000"/>
              </w:rPr>
              <w:t xml:space="preserve"> required to be defined across organisational</w:t>
            </w:r>
            <w:r>
              <w:rPr>
                <w:rFonts w:ascii="Calibri" w:eastAsia="Calibri" w:hAnsi="Calibri" w:cs="Calibri"/>
                <w:color w:val="000000"/>
              </w:rPr>
              <w:t xml:space="preserve"> boundaries </w:t>
            </w:r>
          </w:p>
        </w:tc>
        <w:tc>
          <w:tcPr>
            <w:tcW w:w="36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left="121" w:right="54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 aim to maintain or improve the quality</w:t>
            </w:r>
            <w:r>
              <w:rPr>
                <w:rFonts w:ascii="Calibri" w:eastAsia="Calibri" w:hAnsi="Calibri" w:cs="Calibri"/>
                <w:color w:val="000000"/>
              </w:rPr>
              <w:t xml:space="preserve"> of life of people using our services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</w:tbl>
    <w:p w:rsidR="00CF1000" w:rsidRDefault="00CF1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CF1000" w:rsidRDefault="00CF1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0"/>
        <w:tblW w:w="89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06"/>
        <w:gridCol w:w="3238"/>
        <w:gridCol w:w="3687"/>
      </w:tblGrid>
      <w:tr w:rsidR="00CF1000">
        <w:trPr>
          <w:trHeight w:val="1135"/>
        </w:trPr>
        <w:tc>
          <w:tcPr>
            <w:tcW w:w="20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National </w:t>
            </w:r>
          </w:p>
        </w:tc>
        <w:tc>
          <w:tcPr>
            <w:tcW w:w="323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22" w:right="51" w:firstLine="8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Defined by Government to focus activity</w:t>
            </w:r>
            <w:r>
              <w:rPr>
                <w:rFonts w:ascii="Calibri" w:eastAsia="Calibri" w:hAnsi="Calibri" w:cs="Calibri"/>
                <w:color w:val="000000"/>
              </w:rPr>
              <w:t xml:space="preserve"> across sectors and organisations</w:t>
            </w:r>
          </w:p>
        </w:tc>
        <w:tc>
          <w:tcPr>
            <w:tcW w:w="36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18" w:right="311" w:firstLine="1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Health and social care services are centred</w:t>
            </w:r>
            <w:r>
              <w:rPr>
                <w:rFonts w:ascii="Calibri" w:eastAsia="Calibri" w:hAnsi="Calibri" w:cs="Calibri"/>
                <w:color w:val="000000"/>
              </w:rPr>
              <w:t xml:space="preserve"> on helping to maintain or improve</w:t>
            </w:r>
            <w:r>
              <w:rPr>
                <w:rFonts w:ascii="Calibri" w:eastAsia="Calibri" w:hAnsi="Calibri" w:cs="Calibri"/>
                <w:color w:val="000000"/>
              </w:rPr>
              <w:t xml:space="preserve"> the quality of life of people who</w:t>
            </w:r>
            <w:r>
              <w:rPr>
                <w:rFonts w:ascii="Calibri" w:eastAsia="Calibri" w:hAnsi="Calibri" w:cs="Calibri"/>
                <w:color w:val="000000"/>
              </w:rPr>
              <w:t xml:space="preserve"> use those services</w:t>
            </w:r>
          </w:p>
        </w:tc>
      </w:tr>
    </w:tbl>
    <w:p w:rsidR="00CF1000" w:rsidRDefault="00CF1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CF1000" w:rsidRDefault="00CF1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Values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8" w:line="280" w:lineRule="auto"/>
        <w:ind w:left="8" w:right="-5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A personal outcomes approach can involve a rebalancing of the powerbase of relationships between the</w:t>
      </w:r>
      <w:r>
        <w:rPr>
          <w:rFonts w:ascii="Calibri" w:eastAsia="Calibri" w:hAnsi="Calibri" w:cs="Calibri"/>
          <w:color w:val="000000"/>
        </w:rPr>
        <w:t xml:space="preserve"> person and those individuals working with them. It emphasises individual strengths, capacities and</w:t>
      </w:r>
      <w:r>
        <w:rPr>
          <w:rFonts w:ascii="Calibri" w:eastAsia="Calibri" w:hAnsi="Calibri" w:cs="Calibri"/>
          <w:color w:val="000000"/>
        </w:rPr>
        <w:t xml:space="preserve"> resilience, and ensures that people can play the role </w:t>
      </w:r>
      <w:r>
        <w:rPr>
          <w:rFonts w:ascii="Calibri" w:eastAsia="Calibri" w:hAnsi="Calibri" w:cs="Calibri"/>
          <w:color w:val="000000"/>
        </w:rPr>
        <w:t>that they want to in working towards their outcomes</w:t>
      </w:r>
      <w:r>
        <w:rPr>
          <w:rFonts w:ascii="Calibri" w:eastAsia="Calibri" w:hAnsi="Calibri" w:cs="Calibri"/>
          <w:color w:val="000000"/>
        </w:rPr>
        <w:t>. This should be modelled by managers, in engaging with practitioners as individuals with strengths</w:t>
      </w:r>
      <w:r>
        <w:rPr>
          <w:rFonts w:ascii="Calibri" w:eastAsia="Calibri" w:hAnsi="Calibri" w:cs="Calibri"/>
          <w:color w:val="000000"/>
        </w:rPr>
        <w:t xml:space="preserve"> and capacities in routine interactions such as supervision, team meetings and continuing professional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 xml:space="preserve">development.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1" w:line="279" w:lineRule="auto"/>
        <w:ind w:left="11" w:right="-5" w:hanging="3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Whilst building on good practice is key, focusing on outcomes also requires a ‘culture shift.’  Practitioners repeatedly identify that this supports practice that was undermined by a service driven approach</w:t>
      </w:r>
      <w:r>
        <w:rPr>
          <w:rFonts w:ascii="Calibri" w:eastAsia="Calibri" w:hAnsi="Calibri" w:cs="Calibri"/>
          <w:color w:val="000000"/>
        </w:rPr>
        <w:t xml:space="preserve"> to assessment and planning. Owner</w:t>
      </w:r>
      <w:r>
        <w:rPr>
          <w:rFonts w:ascii="Calibri" w:eastAsia="Calibri" w:hAnsi="Calibri" w:cs="Calibri"/>
          <w:color w:val="000000"/>
        </w:rPr>
        <w:t>ship is required at every level. Making the shift also requires</w:t>
      </w:r>
      <w:r>
        <w:rPr>
          <w:rFonts w:ascii="Calibri" w:eastAsia="Calibri" w:hAnsi="Calibri" w:cs="Calibri"/>
          <w:color w:val="000000"/>
        </w:rPr>
        <w:t xml:space="preserve"> the involvement of all partner agencies, which need to recognise and value each other’s contribution</w:t>
      </w:r>
      <w:r>
        <w:rPr>
          <w:rFonts w:ascii="Calibri" w:eastAsia="Calibri" w:hAnsi="Calibri" w:cs="Calibri"/>
          <w:color w:val="000000"/>
        </w:rPr>
        <w:t xml:space="preserve">, with several organisations sometimes contributing to the same outcome.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2" w:line="280" w:lineRule="auto"/>
        <w:ind w:left="8" w:right="-6" w:firstLine="15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Focusing on out</w:t>
      </w:r>
      <w:r>
        <w:rPr>
          <w:rFonts w:ascii="Calibri" w:eastAsia="Calibri" w:hAnsi="Calibri" w:cs="Calibri"/>
          <w:color w:val="000000"/>
        </w:rPr>
        <w:t>comes can also support a shift from traditionally risk averse practices. This requires a</w:t>
      </w:r>
      <w:r>
        <w:rPr>
          <w:rFonts w:ascii="Calibri" w:eastAsia="Calibri" w:hAnsi="Calibri" w:cs="Calibri"/>
          <w:color w:val="000000"/>
        </w:rPr>
        <w:t xml:space="preserve"> balanced approach to risk, whereby reasonable risk-taking can be negotiated and agreed as part of the</w:t>
      </w:r>
      <w:r>
        <w:rPr>
          <w:rFonts w:ascii="Calibri" w:eastAsia="Calibri" w:hAnsi="Calibri" w:cs="Calibri"/>
          <w:color w:val="000000"/>
        </w:rPr>
        <w:t xml:space="preserve"> outcomes assessment process. Whilst there is also still a need </w:t>
      </w:r>
      <w:r>
        <w:rPr>
          <w:rFonts w:ascii="Calibri" w:eastAsia="Calibri" w:hAnsi="Calibri" w:cs="Calibri"/>
          <w:color w:val="000000"/>
        </w:rPr>
        <w:t>to manage risk in some circumstances</w:t>
      </w:r>
      <w:r>
        <w:rPr>
          <w:rFonts w:ascii="Calibri" w:eastAsia="Calibri" w:hAnsi="Calibri" w:cs="Calibri"/>
          <w:color w:val="000000"/>
        </w:rPr>
        <w:t xml:space="preserve">, organisations needs to have a clear mandate, to support the shift in practice.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1" w:line="280" w:lineRule="auto"/>
        <w:ind w:left="13" w:right="-6" w:hanging="7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The following principles can inform and guide successful implementation of outcomes in practice. It should</w:t>
      </w:r>
      <w:r>
        <w:rPr>
          <w:rFonts w:ascii="Calibri" w:eastAsia="Calibri" w:hAnsi="Calibri" w:cs="Calibri"/>
          <w:color w:val="000000"/>
        </w:rPr>
        <w:t xml:space="preserve"> be noted that although there are some variations in wording, these broadly align with the principles</w:t>
      </w:r>
      <w:r>
        <w:rPr>
          <w:rFonts w:ascii="Calibri" w:eastAsia="Calibri" w:hAnsi="Calibri" w:cs="Calibri"/>
          <w:color w:val="000000"/>
        </w:rPr>
        <w:t xml:space="preserve"> set out in the policies highlighted in figure </w:t>
      </w:r>
      <w:r>
        <w:rPr>
          <w:rFonts w:ascii="Calibri" w:eastAsia="Calibri" w:hAnsi="Calibri" w:cs="Calibri"/>
          <w:color w:val="000000"/>
        </w:rPr>
        <w:t>1. Readers are invited to explore the parallels between</w:t>
      </w:r>
      <w:r>
        <w:rPr>
          <w:rFonts w:ascii="Calibri" w:eastAsia="Calibri" w:hAnsi="Calibri" w:cs="Calibri"/>
          <w:color w:val="000000"/>
        </w:rPr>
        <w:t xml:space="preserve"> the principles below and those set out in the policies relevant to their area of interest.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40" w:lineRule="auto"/>
        <w:ind w:left="2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Principles underpinning practice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8" w:line="283" w:lineRule="auto"/>
        <w:ind w:left="21" w:firstLine="1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u w:val="single"/>
        </w:rPr>
        <w:t xml:space="preserve">Integrity: </w:t>
      </w:r>
      <w:r>
        <w:rPr>
          <w:rFonts w:ascii="Calibri" w:eastAsia="Calibri" w:hAnsi="Calibri" w:cs="Calibri"/>
          <w:color w:val="000000"/>
        </w:rPr>
        <w:t>Practitioners have identified that a focus on outcomes goes back to the basics of their professional</w:t>
      </w:r>
      <w:r>
        <w:rPr>
          <w:rFonts w:ascii="Calibri" w:eastAsia="Calibri" w:hAnsi="Calibri" w:cs="Calibri"/>
          <w:color w:val="000000"/>
        </w:rPr>
        <w:t xml:space="preserve"> skills and why they came into their jobs in the first place.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9" w:line="282" w:lineRule="auto"/>
        <w:ind w:left="8" w:right="-6" w:firstLine="14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u w:val="single"/>
        </w:rPr>
        <w:lastRenderedPageBreak/>
        <w:t xml:space="preserve">Relationships: </w:t>
      </w:r>
      <w:r>
        <w:rPr>
          <w:rFonts w:ascii="Calibri" w:eastAsia="Calibri" w:hAnsi="Calibri" w:cs="Calibri"/>
          <w:color w:val="000000"/>
        </w:rPr>
        <w:t>Adopting a conversational and relationship centred approach to assessment allows for</w:t>
      </w:r>
      <w:r>
        <w:rPr>
          <w:rFonts w:ascii="Calibri" w:eastAsia="Calibri" w:hAnsi="Calibri" w:cs="Calibri"/>
          <w:color w:val="000000"/>
        </w:rPr>
        <w:t xml:space="preserve"> meaningful engagement, as compared to prescriptive, tick box, question and answer approaches.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9" w:line="280" w:lineRule="auto"/>
        <w:ind w:left="8" w:right="-6" w:firstLine="6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u w:val="single"/>
        </w:rPr>
        <w:t>Communication</w:t>
      </w:r>
      <w:r>
        <w:rPr>
          <w:rFonts w:ascii="Calibri" w:eastAsia="Calibri" w:hAnsi="Calibri" w:cs="Calibri"/>
          <w:color w:val="000000"/>
        </w:rPr>
        <w:t xml:space="preserve">: Working with people with diverse communication styles shows </w:t>
      </w:r>
      <w:r>
        <w:rPr>
          <w:rFonts w:ascii="Calibri" w:eastAsia="Calibri" w:hAnsi="Calibri" w:cs="Calibri"/>
          <w:color w:val="000000"/>
        </w:rPr>
        <w:t>that it is possible to identify</w:t>
      </w:r>
      <w:r>
        <w:rPr>
          <w:rFonts w:ascii="Calibri" w:eastAsia="Calibri" w:hAnsi="Calibri" w:cs="Calibri"/>
          <w:color w:val="000000"/>
        </w:rPr>
        <w:t xml:space="preserve"> outcomes using a range of information sources. This includes verbal and non-verbal communication</w:t>
      </w:r>
      <w:r>
        <w:rPr>
          <w:rFonts w:ascii="Calibri" w:eastAsia="Calibri" w:hAnsi="Calibri" w:cs="Calibri"/>
          <w:color w:val="000000"/>
        </w:rPr>
        <w:t xml:space="preserve"> from the person as well as historical records and the perspectives of paid and unpaid carers</w:t>
      </w:r>
      <w:r>
        <w:rPr>
          <w:rFonts w:ascii="Calibri" w:eastAsia="Calibri" w:hAnsi="Calibri" w:cs="Calibri"/>
          <w:color w:val="000000"/>
        </w:rPr>
        <w:t>. The Right to Speak work on ass</w:t>
      </w:r>
      <w:r>
        <w:rPr>
          <w:rFonts w:ascii="Calibri" w:eastAsia="Calibri" w:hAnsi="Calibri" w:cs="Calibri"/>
          <w:color w:val="000000"/>
        </w:rPr>
        <w:t xml:space="preserve">istive and augmentative communication approaches supports this too.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1" w:line="280" w:lineRule="auto"/>
        <w:ind w:left="19" w:right="-5" w:firstLine="4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u w:val="single"/>
        </w:rPr>
        <w:t xml:space="preserve">Review: </w:t>
      </w:r>
      <w:r>
        <w:rPr>
          <w:rFonts w:ascii="Calibri" w:eastAsia="Calibri" w:hAnsi="Calibri" w:cs="Calibri"/>
          <w:color w:val="000000"/>
        </w:rPr>
        <w:t>The extent to which outcomes have been achieved, the person’s assets and the continuing relevance</w:t>
      </w:r>
      <w:r>
        <w:rPr>
          <w:rFonts w:ascii="Calibri" w:eastAsia="Calibri" w:hAnsi="Calibri" w:cs="Calibri"/>
          <w:color w:val="000000"/>
        </w:rPr>
        <w:t xml:space="preserve"> of services and supports can be revisited at review. This information will infor</w:t>
      </w:r>
      <w:r>
        <w:rPr>
          <w:rFonts w:ascii="Calibri" w:eastAsia="Calibri" w:hAnsi="Calibri" w:cs="Calibri"/>
          <w:color w:val="000000"/>
        </w:rPr>
        <w:t>m further improvement</w:t>
      </w:r>
      <w:r>
        <w:rPr>
          <w:rFonts w:ascii="Calibri" w:eastAsia="Calibri" w:hAnsi="Calibri" w:cs="Calibri"/>
          <w:color w:val="000000"/>
        </w:rPr>
        <w:t xml:space="preserve"> at both the individual and team and organisational levels.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80" w:lineRule="auto"/>
        <w:ind w:left="14" w:right="-5" w:firstLine="8"/>
        <w:jc w:val="both"/>
        <w:rPr>
          <w:rFonts w:ascii="Calibri" w:eastAsia="Calibri" w:hAnsi="Calibri" w:cs="Calibri"/>
          <w:color w:val="8064A2"/>
        </w:rPr>
      </w:pPr>
      <w:r>
        <w:rPr>
          <w:rFonts w:ascii="Calibri" w:eastAsia="Calibri" w:hAnsi="Calibri" w:cs="Calibri"/>
          <w:color w:val="000000"/>
          <w:u w:val="single"/>
        </w:rPr>
        <w:t>Personal ownership:</w:t>
      </w:r>
      <w:r>
        <w:rPr>
          <w:rFonts w:ascii="Calibri" w:eastAsia="Calibri" w:hAnsi="Calibri" w:cs="Calibri"/>
          <w:color w:val="000000"/>
        </w:rPr>
        <w:t xml:space="preserve"> The approach relies on the analytical skills of professionals to bring together information</w:t>
      </w:r>
      <w:r>
        <w:rPr>
          <w:rFonts w:ascii="Calibri" w:eastAsia="Calibri" w:hAnsi="Calibri" w:cs="Calibri"/>
          <w:color w:val="000000"/>
        </w:rPr>
        <w:t xml:space="preserve"> from diverse sources, most importantly from the individual, who should retain ownership</w:t>
      </w:r>
      <w:r>
        <w:rPr>
          <w:rFonts w:ascii="Calibri" w:eastAsia="Calibri" w:hAnsi="Calibri" w:cs="Calibri"/>
          <w:color w:val="000000"/>
        </w:rPr>
        <w:t xml:space="preserve"> of the outcome, consistent with person centred practice</w:t>
      </w:r>
      <w:r>
        <w:rPr>
          <w:rFonts w:ascii="Calibri" w:eastAsia="Calibri" w:hAnsi="Calibri" w:cs="Calibri"/>
          <w:color w:val="8064A2"/>
        </w:rPr>
        <w:t xml:space="preserve">.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1" w:line="281" w:lineRule="auto"/>
        <w:ind w:left="21" w:right="-6" w:hanging="6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u w:val="single"/>
        </w:rPr>
        <w:t>Collaboration:</w:t>
      </w:r>
      <w:r>
        <w:rPr>
          <w:rFonts w:ascii="Calibri" w:eastAsia="Calibri" w:hAnsi="Calibri" w:cs="Calibri"/>
          <w:color w:val="000000"/>
          <w:u w:val="single"/>
        </w:rPr>
        <w:t xml:space="preserve"> </w:t>
      </w:r>
      <w:r>
        <w:rPr>
          <w:rFonts w:ascii="Calibri" w:eastAsia="Calibri" w:hAnsi="Calibri" w:cs="Calibri"/>
          <w:color w:val="000000"/>
        </w:rPr>
        <w:t>Although an individual practitioner can adopt an outcomes approach to an extent, it is more</w:t>
      </w:r>
      <w:r>
        <w:rPr>
          <w:rFonts w:ascii="Calibri" w:eastAsia="Calibri" w:hAnsi="Calibri" w:cs="Calibri"/>
          <w:color w:val="000000"/>
        </w:rPr>
        <w:t xml:space="preserve"> likely to succeed if the practitioner is part of an outcomes focused team. Practitioners also need</w:t>
      </w:r>
      <w:r>
        <w:rPr>
          <w:rFonts w:ascii="Calibri" w:eastAsia="Calibri" w:hAnsi="Calibri" w:cs="Calibri"/>
          <w:color w:val="000000"/>
        </w:rPr>
        <w:t xml:space="preserve"> to be supported by their organisation.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0" w:line="280" w:lineRule="auto"/>
        <w:ind w:left="14" w:right="-5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u w:val="single"/>
        </w:rPr>
        <w:t>Clarity:</w:t>
      </w:r>
      <w:r>
        <w:rPr>
          <w:rFonts w:ascii="Calibri" w:eastAsia="Calibri" w:hAnsi="Calibri" w:cs="Calibri"/>
          <w:color w:val="000000"/>
        </w:rPr>
        <w:t xml:space="preserve"> Where outcome</w:t>
      </w:r>
      <w:r>
        <w:rPr>
          <w:rFonts w:ascii="Calibri" w:eastAsia="Calibri" w:hAnsi="Calibri" w:cs="Calibri"/>
          <w:color w:val="000000"/>
        </w:rPr>
        <w:t>s are clear and understood, and the assets and strengths of the person are clear</w:t>
      </w:r>
      <w:r>
        <w:rPr>
          <w:rFonts w:ascii="Calibri" w:eastAsia="Calibri" w:hAnsi="Calibri" w:cs="Calibri"/>
          <w:color w:val="000000"/>
        </w:rPr>
        <w:t xml:space="preserve"> and understood, then the rationale for any support/intervention also becomes clearer.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40" w:lineRule="auto"/>
        <w:ind w:left="2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Principles underpinning organisational change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81" w:lineRule="auto"/>
        <w:ind w:left="8" w:right="-6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An outcomes approach needs to be adopted by the whole organisation. Communication should be two</w:t>
      </w:r>
      <w:r>
        <w:rPr>
          <w:rFonts w:ascii="Calibri" w:eastAsia="Calibri" w:hAnsi="Calibri" w:cs="Calibri"/>
          <w:color w:val="000000"/>
        </w:rPr>
        <w:t xml:space="preserve"> way and central to the approach. Staff need to know not just that they have permission to practice</w:t>
      </w:r>
      <w:r>
        <w:rPr>
          <w:rFonts w:ascii="Calibri" w:eastAsia="Calibri" w:hAnsi="Calibri" w:cs="Calibri"/>
          <w:color w:val="000000"/>
        </w:rPr>
        <w:t xml:space="preserve"> differently, but that the information they gather will infl</w:t>
      </w:r>
      <w:r>
        <w:rPr>
          <w:rFonts w:ascii="Calibri" w:eastAsia="Calibri" w:hAnsi="Calibri" w:cs="Calibri"/>
          <w:color w:val="000000"/>
        </w:rPr>
        <w:t xml:space="preserve">uence service developments.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0" w:line="280" w:lineRule="auto"/>
        <w:ind w:left="8" w:right="-6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Adopting this approach can require significant organisational change. It means considering the person</w:t>
      </w:r>
      <w:r>
        <w:rPr>
          <w:rFonts w:ascii="Calibri" w:eastAsia="Calibri" w:hAnsi="Calibri" w:cs="Calibri"/>
          <w:color w:val="000000"/>
        </w:rPr>
        <w:t xml:space="preserve"> in the context of their community. Staff development and supervision are also key.  Additionally, there will be a requiremen</w:t>
      </w:r>
      <w:r>
        <w:rPr>
          <w:rFonts w:ascii="Calibri" w:eastAsia="Calibri" w:hAnsi="Calibri" w:cs="Calibri"/>
          <w:color w:val="000000"/>
        </w:rPr>
        <w:t>t to review financial, planning and reporting systems, as well as</w:t>
      </w:r>
      <w:r>
        <w:rPr>
          <w:rFonts w:ascii="Calibri" w:eastAsia="Calibri" w:hAnsi="Calibri" w:cs="Calibri"/>
          <w:color w:val="000000"/>
        </w:rPr>
        <w:t xml:space="preserve"> the prioritisation of services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1" w:line="282" w:lineRule="auto"/>
        <w:ind w:left="15" w:hanging="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A successful outcomes approach requires that systems for collecting and analysing data are developed</w:t>
      </w:r>
      <w:r>
        <w:rPr>
          <w:rFonts w:ascii="Calibri" w:eastAsia="Calibri" w:hAnsi="Calibri" w:cs="Calibri"/>
          <w:color w:val="000000"/>
        </w:rPr>
        <w:t xml:space="preserve"> around practice and do not dictate and restrict practice.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9" w:line="280" w:lineRule="auto"/>
        <w:ind w:left="10" w:right="-6" w:firstLine="4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Qualitative and quantitative information gathered on personal outcomes should be used to support, evidence</w:t>
      </w:r>
      <w:r>
        <w:rPr>
          <w:rFonts w:ascii="Calibri" w:eastAsia="Calibri" w:hAnsi="Calibri" w:cs="Calibri"/>
          <w:color w:val="000000"/>
        </w:rPr>
        <w:t xml:space="preserve"> and drive organisational change</w:t>
      </w:r>
      <w:r>
        <w:rPr>
          <w:rFonts w:ascii="Calibri" w:eastAsia="Calibri" w:hAnsi="Calibri" w:cs="Calibri"/>
          <w:color w:val="8064A2"/>
        </w:rPr>
        <w:t xml:space="preserve">. </w:t>
      </w:r>
      <w:r>
        <w:rPr>
          <w:rFonts w:ascii="Calibri" w:eastAsia="Calibri" w:hAnsi="Calibri" w:cs="Calibri"/>
          <w:color w:val="000000"/>
        </w:rPr>
        <w:t>Information can be used by partner organisations to identify</w:t>
      </w:r>
      <w:r>
        <w:rPr>
          <w:rFonts w:ascii="Calibri" w:eastAsia="Calibri" w:hAnsi="Calibri" w:cs="Calibri"/>
          <w:color w:val="000000"/>
        </w:rPr>
        <w:t xml:space="preserve"> whether and how they are delivering good outcomes, to understand what is and isn’t working</w:t>
      </w:r>
      <w:r>
        <w:rPr>
          <w:rFonts w:ascii="Calibri" w:eastAsia="Calibri" w:hAnsi="Calibri" w:cs="Calibri"/>
          <w:color w:val="000000"/>
        </w:rPr>
        <w:t xml:space="preserve"> well and to further improve services.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1" w:line="280" w:lineRule="auto"/>
        <w:ind w:left="8" w:right="-6" w:firstLine="14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Effective commun</w:t>
      </w:r>
      <w:r>
        <w:rPr>
          <w:rFonts w:ascii="Calibri" w:eastAsia="Calibri" w:hAnsi="Calibri" w:cs="Calibri"/>
          <w:color w:val="000000"/>
        </w:rPr>
        <w:t>ication between all partners is required to support development of a shared vision</w:t>
      </w:r>
      <w:r>
        <w:rPr>
          <w:rFonts w:ascii="Calibri" w:eastAsia="Calibri" w:hAnsi="Calibri" w:cs="Calibri"/>
          <w:color w:val="000000"/>
        </w:rPr>
        <w:t>, and goals, between agencies. Joint planning and commissioning approaches, explicitly focussed</w:t>
      </w:r>
      <w:r>
        <w:rPr>
          <w:rFonts w:ascii="Calibri" w:eastAsia="Calibri" w:hAnsi="Calibri" w:cs="Calibri"/>
          <w:color w:val="000000"/>
        </w:rPr>
        <w:t xml:space="preserve"> on improving personal outcomes, will set a context for realising these visio</w:t>
      </w:r>
      <w:r>
        <w:rPr>
          <w:rFonts w:ascii="Calibri" w:eastAsia="Calibri" w:hAnsi="Calibri" w:cs="Calibri"/>
          <w:color w:val="000000"/>
        </w:rPr>
        <w:t xml:space="preserve">ns and goals.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40" w:lineRule="auto"/>
        <w:ind w:left="13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lastRenderedPageBreak/>
        <w:t xml:space="preserve">Comparing service led and outcomes focused approaches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9" w:line="279" w:lineRule="auto"/>
        <w:ind w:left="6" w:right="-6" w:hanging="4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The table below compares key features of service led and outcomes focused approaches. In reality, it</w:t>
      </w:r>
      <w:r>
        <w:rPr>
          <w:rFonts w:ascii="Calibri" w:eastAsia="Calibri" w:hAnsi="Calibri" w:cs="Calibri"/>
          <w:color w:val="000000"/>
        </w:rPr>
        <w:t xml:space="preserve"> is not always a case of either/or. For example, practitioners need to think about who they are working</w:t>
      </w:r>
      <w:r>
        <w:rPr>
          <w:rFonts w:ascii="Calibri" w:eastAsia="Calibri" w:hAnsi="Calibri" w:cs="Calibri"/>
          <w:color w:val="000000"/>
        </w:rPr>
        <w:t xml:space="preserve"> with and in what circumstances. In crisis situatio</w:t>
      </w:r>
      <w:r>
        <w:rPr>
          <w:rFonts w:ascii="Calibri" w:eastAsia="Calibri" w:hAnsi="Calibri" w:cs="Calibri"/>
          <w:color w:val="000000"/>
        </w:rPr>
        <w:t>ns, it may be appropriate to think of the person</w:t>
      </w:r>
      <w:r>
        <w:rPr>
          <w:rFonts w:ascii="Calibri" w:eastAsia="Calibri" w:hAnsi="Calibri" w:cs="Calibri"/>
          <w:color w:val="000000"/>
        </w:rPr>
        <w:t xml:space="preserve"> as someone who requires a service. In other situations,</w:t>
      </w:r>
      <w:r>
        <w:rPr>
          <w:rFonts w:ascii="Calibri" w:eastAsia="Calibri" w:hAnsi="Calibri" w:cs="Calibri"/>
          <w:color w:val="000000"/>
        </w:rPr>
        <w:t xml:space="preserve"> it is more appropriate to think of a person with skills and experiences who can contribute to their own outcomes, including through supported</w:t>
      </w:r>
      <w:r>
        <w:rPr>
          <w:rFonts w:ascii="Calibri" w:eastAsia="Calibri" w:hAnsi="Calibri" w:cs="Calibri"/>
          <w:color w:val="000000"/>
        </w:rPr>
        <w:t xml:space="preserve"> self-man</w:t>
      </w:r>
      <w:r>
        <w:rPr>
          <w:rFonts w:ascii="Calibri" w:eastAsia="Calibri" w:hAnsi="Calibri" w:cs="Calibri"/>
          <w:color w:val="000000"/>
        </w:rPr>
        <w:t>agement</w:t>
      </w:r>
      <w:r>
        <w:rPr>
          <w:rFonts w:ascii="Calibri" w:eastAsia="Calibri" w:hAnsi="Calibri" w:cs="Calibri"/>
          <w:color w:val="8064A2"/>
        </w:rPr>
        <w:t xml:space="preserve">. </w:t>
      </w:r>
      <w:r>
        <w:rPr>
          <w:rFonts w:ascii="Calibri" w:eastAsia="Calibri" w:hAnsi="Calibri" w:cs="Calibri"/>
          <w:color w:val="000000"/>
        </w:rPr>
        <w:t>Alongside that is the practitioner choice about who to be with that person</w:t>
      </w:r>
      <w:r>
        <w:rPr>
          <w:rFonts w:ascii="Calibri" w:eastAsia="Calibri" w:hAnsi="Calibri" w:cs="Calibri"/>
          <w:color w:val="000000"/>
        </w:rPr>
        <w:t>, an expert or an enabler; recognising that it is sometimes necessary to move between roles (</w:t>
      </w:r>
      <w:r>
        <w:rPr>
          <w:rFonts w:ascii="Calibri" w:eastAsia="Calibri" w:hAnsi="Calibri" w:cs="Calibri"/>
          <w:color w:val="000000"/>
        </w:rPr>
        <w:t xml:space="preserve">but that this should be a conscious choice), rather than assuming the default </w:t>
      </w:r>
      <w:r>
        <w:rPr>
          <w:rFonts w:ascii="Calibri" w:eastAsia="Calibri" w:hAnsi="Calibri" w:cs="Calibri"/>
          <w:color w:val="000000"/>
        </w:rPr>
        <w:t>position of the expert. Outcome focused practice usually means starting in an enabling/facilitating role then identifying where</w:t>
      </w:r>
      <w:r>
        <w:rPr>
          <w:rFonts w:ascii="Calibri" w:eastAsia="Calibri" w:hAnsi="Calibri" w:cs="Calibri"/>
          <w:color w:val="000000"/>
        </w:rPr>
        <w:t xml:space="preserve"> professional expertise may be needed in contributing towards the outcomes.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40" w:lineRule="auto"/>
        <w:ind w:left="6"/>
        <w:rPr>
          <w:rFonts w:ascii="Calibri" w:eastAsia="Calibri" w:hAnsi="Calibri" w:cs="Calibri"/>
          <w:color w:val="000000"/>
          <w:sz w:val="23"/>
          <w:szCs w:val="23"/>
          <w:vertAlign w:val="superscript"/>
        </w:rPr>
      </w:pPr>
      <w:r>
        <w:rPr>
          <w:rFonts w:ascii="Calibri" w:eastAsia="Calibri" w:hAnsi="Calibri" w:cs="Calibri"/>
          <w:color w:val="000000"/>
        </w:rPr>
        <w:t>Table 1: Summary of service led and outcomes focus</w:t>
      </w:r>
      <w:r>
        <w:rPr>
          <w:rFonts w:ascii="Calibri" w:eastAsia="Calibri" w:hAnsi="Calibri" w:cs="Calibri"/>
          <w:color w:val="000000"/>
        </w:rPr>
        <w:t>ed practice/systems</w:t>
      </w:r>
      <w:r>
        <w:rPr>
          <w:rFonts w:ascii="Calibri" w:eastAsia="Calibri" w:hAnsi="Calibri" w:cs="Calibri"/>
          <w:color w:val="000000"/>
          <w:sz w:val="23"/>
          <w:szCs w:val="23"/>
          <w:vertAlign w:val="superscript"/>
        </w:rPr>
        <w:t>v</w:t>
      </w:r>
    </w:p>
    <w:tbl>
      <w:tblPr>
        <w:tblStyle w:val="a1"/>
        <w:tblW w:w="907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7"/>
        <w:gridCol w:w="3543"/>
        <w:gridCol w:w="4253"/>
      </w:tblGrid>
      <w:tr w:rsidR="00CF1000">
        <w:trPr>
          <w:trHeight w:val="278"/>
        </w:trPr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CF1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3"/>
                <w:szCs w:val="23"/>
                <w:vertAlign w:val="superscript"/>
              </w:rPr>
            </w:pPr>
          </w:p>
        </w:tc>
        <w:tc>
          <w:tcPr>
            <w:tcW w:w="3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9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Service Led 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rFonts w:ascii="Calibri" w:eastAsia="Calibri" w:hAnsi="Calibri" w:cs="Calibri"/>
                <w:b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Outcome focused/person centred</w:t>
            </w:r>
          </w:p>
        </w:tc>
      </w:tr>
      <w:tr w:rsidR="00CF1000">
        <w:trPr>
          <w:trHeight w:val="278"/>
        </w:trPr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Endpoint </w:t>
            </w:r>
          </w:p>
        </w:tc>
        <w:tc>
          <w:tcPr>
            <w:tcW w:w="3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Delivery of service 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Impact of plan </w:t>
            </w:r>
          </w:p>
        </w:tc>
      </w:tr>
      <w:tr w:rsidR="00CF1000">
        <w:trPr>
          <w:trHeight w:val="547"/>
        </w:trPr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Format </w:t>
            </w:r>
          </w:p>
        </w:tc>
        <w:tc>
          <w:tcPr>
            <w:tcW w:w="3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22" w:right="743" w:firstLine="8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Pre-determined question and answer</w:t>
            </w:r>
            <w:r>
              <w:rPr>
                <w:rFonts w:ascii="Calibri" w:eastAsia="Calibri" w:hAnsi="Calibri" w:cs="Calibri"/>
                <w:color w:val="000000"/>
              </w:rPr>
              <w:t xml:space="preserve"> formats 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23" w:right="774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Semi-structured conversation = open questions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</w:tr>
      <w:tr w:rsidR="00CF1000">
        <w:trPr>
          <w:trHeight w:val="547"/>
        </w:trPr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6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Approach </w:t>
            </w:r>
          </w:p>
        </w:tc>
        <w:tc>
          <w:tcPr>
            <w:tcW w:w="3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16" w:right="260" w:firstLine="6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Obtaining information required for form</w:t>
            </w:r>
            <w:r>
              <w:rPr>
                <w:rFonts w:ascii="Calibri" w:eastAsia="Calibri" w:hAnsi="Calibri" w:cs="Calibri"/>
                <w:color w:val="000000"/>
              </w:rPr>
              <w:t xml:space="preserve"> filling = ‘filtering’ information 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22" w:right="286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Skilled interaction including active listening and reflecting back</w:t>
            </w:r>
          </w:p>
        </w:tc>
      </w:tr>
      <w:tr w:rsidR="00CF1000">
        <w:trPr>
          <w:trHeight w:val="547"/>
        </w:trPr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Person </w:t>
            </w:r>
          </w:p>
        </w:tc>
        <w:tc>
          <w:tcPr>
            <w:tcW w:w="3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29" w:right="319" w:hanging="6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Client, service user or patient who receives</w:t>
            </w:r>
            <w:r>
              <w:rPr>
                <w:rFonts w:ascii="Calibri" w:eastAsia="Calibri" w:hAnsi="Calibri" w:cs="Calibri"/>
                <w:color w:val="000000"/>
              </w:rPr>
              <w:t xml:space="preserve"> services 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22" w:right="17" w:firstLine="8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Person in their own right with skills, ability and</w:t>
            </w:r>
            <w:r>
              <w:rPr>
                <w:rFonts w:ascii="Calibri" w:eastAsia="Calibri" w:hAnsi="Calibri" w:cs="Calibri"/>
                <w:color w:val="000000"/>
              </w:rPr>
              <w:t xml:space="preserve"> a role to play in achieving their outcomes </w:t>
            </w:r>
          </w:p>
        </w:tc>
      </w:tr>
      <w:tr w:rsidR="00CF1000">
        <w:trPr>
          <w:trHeight w:val="278"/>
        </w:trPr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Practitioner </w:t>
            </w:r>
          </w:p>
        </w:tc>
        <w:tc>
          <w:tcPr>
            <w:tcW w:w="3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Expert 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Enabler and partner </w:t>
            </w:r>
          </w:p>
        </w:tc>
      </w:tr>
      <w:tr w:rsidR="00CF1000">
        <w:trPr>
          <w:trHeight w:val="547"/>
        </w:trPr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Focus </w:t>
            </w:r>
          </w:p>
        </w:tc>
        <w:tc>
          <w:tcPr>
            <w:tcW w:w="3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29" w:right="192" w:firstLine="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Identify problems and deficits and match</w:t>
            </w:r>
            <w:r>
              <w:rPr>
                <w:rFonts w:ascii="Calibri" w:eastAsia="Calibri" w:hAnsi="Calibri" w:cs="Calibri"/>
                <w:color w:val="000000"/>
              </w:rPr>
              <w:t xml:space="preserve"> to a limited range of services 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3" w:lineRule="auto"/>
              <w:ind w:left="122" w:right="366" w:firstLine="8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Build on capacities and strengths towards creative</w:t>
            </w:r>
            <w:r>
              <w:rPr>
                <w:rFonts w:ascii="Calibri" w:eastAsia="Calibri" w:hAnsi="Calibri" w:cs="Calibri"/>
                <w:color w:val="000000"/>
              </w:rPr>
              <w:t xml:space="preserve"> solutions </w:t>
            </w:r>
          </w:p>
        </w:tc>
      </w:tr>
      <w:tr w:rsidR="00CF1000">
        <w:trPr>
          <w:trHeight w:val="278"/>
        </w:trPr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Recording </w:t>
            </w:r>
          </w:p>
        </w:tc>
        <w:tc>
          <w:tcPr>
            <w:tcW w:w="35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14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Tick box </w:t>
            </w:r>
          </w:p>
        </w:tc>
        <w:tc>
          <w:tcPr>
            <w:tcW w:w="425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F1000" w:rsidRDefault="00685F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31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Building towards a clear outcomes plan </w:t>
            </w:r>
          </w:p>
        </w:tc>
      </w:tr>
    </w:tbl>
    <w:p w:rsidR="00CF1000" w:rsidRDefault="00CF1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CF1000" w:rsidRDefault="00CF1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80" w:lineRule="auto"/>
        <w:ind w:left="6" w:right="-5" w:hanging="1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The table points to constraints in the health and social care system. Although a focus on personal outcomes</w:t>
      </w:r>
      <w:r>
        <w:rPr>
          <w:rFonts w:ascii="Calibri" w:eastAsia="Calibri" w:hAnsi="Calibri" w:cs="Calibri"/>
          <w:color w:val="000000"/>
        </w:rPr>
        <w:t xml:space="preserve"> can help to overcome these barriers, it is not a magic bullet. Sustained support to the workforce</w:t>
      </w:r>
      <w:r>
        <w:rPr>
          <w:rFonts w:ascii="Calibri" w:eastAsia="Calibri" w:hAnsi="Calibri" w:cs="Calibri"/>
          <w:color w:val="000000"/>
        </w:rPr>
        <w:t xml:space="preserve"> to practice in this way is also required. Other </w:t>
      </w:r>
      <w:r>
        <w:rPr>
          <w:rFonts w:ascii="Calibri" w:eastAsia="Calibri" w:hAnsi="Calibri" w:cs="Calibri"/>
          <w:color w:val="000000"/>
        </w:rPr>
        <w:t>aspects of the system, such as approaches to</w:t>
      </w:r>
      <w:r>
        <w:rPr>
          <w:rFonts w:ascii="Calibri" w:eastAsia="Calibri" w:hAnsi="Calibri" w:cs="Calibri"/>
          <w:color w:val="000000"/>
        </w:rPr>
        <w:t xml:space="preserve"> prioritisation, performance management and commissioning need to align to support outcomes and</w:t>
      </w:r>
      <w:r>
        <w:rPr>
          <w:rFonts w:ascii="Calibri" w:eastAsia="Calibri" w:hAnsi="Calibri" w:cs="Calibri"/>
          <w:color w:val="000000"/>
        </w:rPr>
        <w:t xml:space="preserve"> to avoid a return to service led approaches. The need to include feedback loops between practice</w:t>
      </w:r>
      <w:r>
        <w:rPr>
          <w:rFonts w:ascii="Calibri" w:eastAsia="Calibri" w:hAnsi="Calibri" w:cs="Calibri"/>
          <w:color w:val="000000"/>
        </w:rPr>
        <w:t xml:space="preserve"> and information </w:t>
      </w:r>
      <w:r>
        <w:rPr>
          <w:rFonts w:ascii="Calibri" w:eastAsia="Calibri" w:hAnsi="Calibri" w:cs="Calibri"/>
          <w:color w:val="000000"/>
        </w:rPr>
        <w:t xml:space="preserve">use, has been confirmed by the meaningful and measurable project.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1" w:line="279" w:lineRule="auto"/>
        <w:ind w:left="8" w:right="-4" w:firstLine="15"/>
        <w:jc w:val="both"/>
        <w:rPr>
          <w:rFonts w:ascii="Calibri" w:eastAsia="Calibri" w:hAnsi="Calibri" w:cs="Calibri"/>
          <w:color w:val="000000"/>
          <w:sz w:val="13"/>
          <w:szCs w:val="13"/>
        </w:rPr>
      </w:pPr>
      <w:r>
        <w:rPr>
          <w:rFonts w:ascii="Calibri" w:eastAsia="Calibri" w:hAnsi="Calibri" w:cs="Calibri"/>
          <w:color w:val="000000"/>
        </w:rPr>
        <w:t>Further, while there is a concern that opening up conversations with people about what matters to them</w:t>
      </w:r>
      <w:r>
        <w:rPr>
          <w:rFonts w:ascii="Calibri" w:eastAsia="Calibri" w:hAnsi="Calibri" w:cs="Calibri"/>
          <w:color w:val="000000"/>
        </w:rPr>
        <w:t xml:space="preserve"> in life, will create demand, evidence shows that many outcomes can be improved without </w:t>
      </w:r>
      <w:r>
        <w:rPr>
          <w:rFonts w:ascii="Calibri" w:eastAsia="Calibri" w:hAnsi="Calibri" w:cs="Calibri"/>
          <w:color w:val="000000"/>
        </w:rPr>
        <w:lastRenderedPageBreak/>
        <w:t>necessarily</w:t>
      </w:r>
      <w:r>
        <w:rPr>
          <w:rFonts w:ascii="Calibri" w:eastAsia="Calibri" w:hAnsi="Calibri" w:cs="Calibri"/>
          <w:color w:val="000000"/>
        </w:rPr>
        <w:t xml:space="preserve"> using more resources. This is partly achieved by establishing shared responsibility and different</w:t>
      </w:r>
      <w:r>
        <w:rPr>
          <w:rFonts w:ascii="Calibri" w:eastAsia="Calibri" w:hAnsi="Calibri" w:cs="Calibri"/>
          <w:color w:val="000000"/>
        </w:rPr>
        <w:t xml:space="preserve"> contributions towards achieving outcomes. There is also evidence that outcomes focused conversations</w:t>
      </w:r>
      <w:r>
        <w:rPr>
          <w:rFonts w:ascii="Calibri" w:eastAsia="Calibri" w:hAnsi="Calibri" w:cs="Calibri"/>
          <w:color w:val="000000"/>
        </w:rPr>
        <w:t xml:space="preserve"> are in intervention in themselves, and </w:t>
      </w:r>
      <w:r>
        <w:rPr>
          <w:rFonts w:ascii="Calibri" w:eastAsia="Calibri" w:hAnsi="Calibri" w:cs="Calibri"/>
          <w:color w:val="000000"/>
        </w:rPr>
        <w:t>that outcomes are already achieved this way.</w:t>
      </w:r>
      <w:r>
        <w:rPr>
          <w:rFonts w:ascii="Calibri" w:eastAsia="Calibri" w:hAnsi="Calibri" w:cs="Calibri"/>
          <w:color w:val="000000"/>
          <w:sz w:val="23"/>
          <w:szCs w:val="23"/>
          <w:vertAlign w:val="superscript"/>
        </w:rPr>
        <w:t>vi</w:t>
      </w:r>
      <w:r>
        <w:rPr>
          <w:rFonts w:ascii="Calibri" w:eastAsia="Calibri" w:hAnsi="Calibri" w:cs="Calibri"/>
          <w:color w:val="000000"/>
          <w:sz w:val="13"/>
          <w:szCs w:val="13"/>
        </w:rPr>
        <w:t xml:space="preserve">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4" w:line="240" w:lineRule="auto"/>
        <w:ind w:left="7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About this document and the Personal Outcomes Network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8" w:line="281" w:lineRule="auto"/>
        <w:ind w:left="5" w:right="-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This document updates a previous version</w:t>
      </w:r>
      <w:r>
        <w:rPr>
          <w:rFonts w:ascii="Calibri" w:eastAsia="Calibri" w:hAnsi="Calibri" w:cs="Calibri"/>
          <w:color w:val="000000"/>
          <w:sz w:val="23"/>
          <w:szCs w:val="23"/>
          <w:vertAlign w:val="superscript"/>
        </w:rPr>
        <w:t xml:space="preserve">vii </w:t>
      </w:r>
      <w:r>
        <w:rPr>
          <w:rFonts w:ascii="Calibri" w:eastAsia="Calibri" w:hAnsi="Calibri" w:cs="Calibri"/>
          <w:color w:val="000000"/>
        </w:rPr>
        <w:t>to support consistent understanding, and continued development and implementation. It was collated by Emma Miller, University of Strathclyde, with contributions from the Personal Outcomes Network Co-ordinating Group</w:t>
      </w:r>
      <w:r>
        <w:rPr>
          <w:rFonts w:ascii="Calibri" w:eastAsia="Calibri" w:hAnsi="Calibri" w:cs="Calibri"/>
          <w:color w:val="000000"/>
        </w:rPr>
        <w:t>, and in consultation with the wider Per</w:t>
      </w:r>
      <w:r>
        <w:rPr>
          <w:rFonts w:ascii="Calibri" w:eastAsia="Calibri" w:hAnsi="Calibri" w:cs="Calibri"/>
          <w:color w:val="000000"/>
        </w:rPr>
        <w:t xml:space="preserve">sonal Outcomes Network.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0" w:line="279" w:lineRule="auto"/>
        <w:ind w:left="6" w:right="-6" w:hanging="1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The Personal Outcomes Network (PON) and its co-ordinating group is a national cross sector group with</w:t>
      </w:r>
      <w:r>
        <w:rPr>
          <w:rFonts w:ascii="Calibri" w:eastAsia="Calibri" w:hAnsi="Calibri" w:cs="Calibri"/>
          <w:color w:val="000000"/>
        </w:rPr>
        <w:t xml:space="preserve"> membership from across health, social care and housing. Members work in a wide range of roles</w:t>
      </w:r>
      <w:r>
        <w:rPr>
          <w:rFonts w:ascii="Calibri" w:eastAsia="Calibri" w:hAnsi="Calibri" w:cs="Calibri"/>
          <w:color w:val="000000"/>
        </w:rPr>
        <w:t xml:space="preserve"> but share a common passion for de</w:t>
      </w:r>
      <w:r>
        <w:rPr>
          <w:rFonts w:ascii="Calibri" w:eastAsia="Calibri" w:hAnsi="Calibri" w:cs="Calibri"/>
          <w:color w:val="000000"/>
        </w:rPr>
        <w:t>veloping and implementing personal outcomes approaches locally</w:t>
      </w:r>
      <w:r>
        <w:rPr>
          <w:rFonts w:ascii="Calibri" w:eastAsia="Calibri" w:hAnsi="Calibri" w:cs="Calibri"/>
          <w:color w:val="000000"/>
        </w:rPr>
        <w:t xml:space="preserve"> and nationally. The PON is an open group based on self-organisational principles, which aims to</w:t>
      </w:r>
      <w:r>
        <w:rPr>
          <w:rFonts w:ascii="Calibri" w:eastAsia="Calibri" w:hAnsi="Calibri" w:cs="Calibri"/>
          <w:color w:val="000000"/>
        </w:rPr>
        <w:t xml:space="preserve"> offer a safe place for reflection and sharing of practice through stories, learning, resources and evidence</w:t>
      </w:r>
      <w:r>
        <w:rPr>
          <w:rFonts w:ascii="Calibri" w:eastAsia="Calibri" w:hAnsi="Calibri" w:cs="Calibri"/>
          <w:color w:val="000000"/>
        </w:rPr>
        <w:t>. Members of the smaller Co-ordinating Group gather evidence of practice change and issues</w:t>
      </w:r>
      <w:r>
        <w:rPr>
          <w:rFonts w:ascii="Calibri" w:eastAsia="Calibri" w:hAnsi="Calibri" w:cs="Calibri"/>
          <w:color w:val="000000"/>
        </w:rPr>
        <w:t xml:space="preserve"> to share with PON members. Through working in this collaborative and evidence-based</w:t>
      </w:r>
      <w:r>
        <w:rPr>
          <w:rFonts w:ascii="Calibri" w:eastAsia="Calibri" w:hAnsi="Calibri" w:cs="Calibri"/>
          <w:color w:val="000000"/>
        </w:rPr>
        <w:t xml:space="preserve"> way, the</w:t>
      </w:r>
      <w:r>
        <w:rPr>
          <w:rFonts w:ascii="Calibri" w:eastAsia="Calibri" w:hAnsi="Calibri" w:cs="Calibri"/>
          <w:color w:val="000000"/>
        </w:rPr>
        <w:t xml:space="preserve"> PON and its Co-ordinating Group aim to inspire, energise </w:t>
      </w:r>
      <w:r>
        <w:rPr>
          <w:rFonts w:ascii="Calibri" w:eastAsia="Calibri" w:hAnsi="Calibri" w:cs="Calibri"/>
          <w:color w:val="000000"/>
        </w:rPr>
        <w:t>and influence each other and wider stakeholders</w:t>
      </w:r>
      <w:r>
        <w:rPr>
          <w:rFonts w:ascii="Calibri" w:eastAsia="Calibri" w:hAnsi="Calibri" w:cs="Calibri"/>
          <w:color w:val="000000"/>
        </w:rPr>
        <w:t xml:space="preserve">, thereby advancing work around personal outcomes in Scotland. </w:t>
      </w:r>
    </w:p>
    <w:p w:rsidR="00CF1000" w:rsidRDefault="00CF1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"/>
        <w:rPr>
          <w:rFonts w:ascii="Calibri" w:eastAsia="Calibri" w:hAnsi="Calibri" w:cs="Calibri"/>
          <w:b/>
        </w:rPr>
      </w:pP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PON Co-ordinating group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For a list of our current Co-ordinating group members visit: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20"/>
        <w:rPr>
          <w:rFonts w:ascii="Calibri" w:eastAsia="Calibri" w:hAnsi="Calibri" w:cs="Calibri"/>
        </w:rPr>
      </w:pPr>
      <w:hyperlink r:id="rId6">
        <w:r>
          <w:rPr>
            <w:rFonts w:ascii="Calibri" w:eastAsia="Calibri" w:hAnsi="Calibri" w:cs="Calibri"/>
            <w:color w:val="1155CC"/>
            <w:u w:val="single"/>
          </w:rPr>
          <w:t>https://personaloutcomes.network/pon-co-ordinating-group/</w:t>
        </w:r>
      </w:hyperlink>
    </w:p>
    <w:p w:rsidR="00CF1000" w:rsidRDefault="00CF1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rPr>
          <w:rFonts w:ascii="Calibri" w:eastAsia="Calibri" w:hAnsi="Calibri" w:cs="Calibri"/>
          <w:b/>
        </w:rPr>
      </w:pP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240" w:lineRule="auto"/>
        <w:ind w:left="20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Further resources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1" w:line="460" w:lineRule="auto"/>
        <w:ind w:left="21" w:right="404" w:firstLine="1"/>
        <w:rPr>
          <w:rFonts w:ascii="Calibri" w:eastAsia="Calibri" w:hAnsi="Calibri" w:cs="Calibri"/>
          <w:color w:val="0000FF"/>
        </w:rPr>
      </w:pPr>
      <w:r>
        <w:rPr>
          <w:rFonts w:ascii="Calibri" w:eastAsia="Calibri" w:hAnsi="Calibri" w:cs="Calibri"/>
          <w:color w:val="000000"/>
        </w:rPr>
        <w:t xml:space="preserve">For resources to support personal outcomes approaches (including most references below) visit:  </w:t>
      </w:r>
      <w:r>
        <w:rPr>
          <w:rFonts w:ascii="Calibri" w:eastAsia="Calibri" w:hAnsi="Calibri" w:cs="Calibri"/>
          <w:color w:val="0000FF"/>
          <w:u w:val="single"/>
        </w:rPr>
        <w:t>https://personaloutcomes.network/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40" w:lineRule="auto"/>
        <w:ind w:left="21"/>
        <w:rPr>
          <w:rFonts w:ascii="Calibri" w:eastAsia="Calibri" w:hAnsi="Calibri" w:cs="Calibri"/>
          <w:color w:val="0000FF"/>
        </w:rPr>
      </w:pPr>
      <w:r>
        <w:rPr>
          <w:rFonts w:ascii="Calibri" w:eastAsia="Calibri" w:hAnsi="Calibri" w:cs="Calibri"/>
          <w:color w:val="0000FF"/>
          <w:u w:val="single"/>
        </w:rPr>
        <w:t>https://meaningfulandmeasurable.wordpress.com/</w:t>
      </w:r>
      <w:r>
        <w:rPr>
          <w:rFonts w:ascii="Calibri" w:eastAsia="Calibri" w:hAnsi="Calibri" w:cs="Calibri"/>
          <w:color w:val="0000FF"/>
        </w:rPr>
        <w:t xml:space="preserve">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8" w:line="240" w:lineRule="auto"/>
        <w:ind w:left="4"/>
        <w:rPr>
          <w:rFonts w:ascii="Calibri" w:eastAsia="Calibri" w:hAnsi="Calibri" w:cs="Calibri"/>
          <w:color w:val="0000FF"/>
        </w:rPr>
      </w:pPr>
      <w:r>
        <w:rPr>
          <w:rFonts w:ascii="Calibri" w:eastAsia="Calibri" w:hAnsi="Calibri" w:cs="Calibri"/>
          <w:color w:val="0000FF"/>
          <w:u w:val="single"/>
        </w:rPr>
        <w:t xml:space="preserve"> </w:t>
      </w:r>
      <w:r>
        <w:rPr>
          <w:rFonts w:ascii="Calibri" w:eastAsia="Calibri" w:hAnsi="Calibri" w:cs="Calibri"/>
          <w:color w:val="0000FF"/>
        </w:rPr>
        <w:t xml:space="preserve">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5" w:lineRule="auto"/>
        <w:ind w:left="7" w:right="164" w:firstLine="8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26"/>
          <w:szCs w:val="26"/>
          <w:vertAlign w:val="superscript"/>
        </w:rPr>
        <w:t>i</w:t>
      </w:r>
      <w:r>
        <w:rPr>
          <w:rFonts w:ascii="Calibri" w:eastAsia="Calibri" w:hAnsi="Calibri" w:cs="Calibri"/>
          <w:color w:val="000000"/>
          <w:sz w:val="19"/>
          <w:szCs w:val="19"/>
        </w:rPr>
        <w:t xml:space="preserve">Petch, A. (2012) We’ve Got to Talk about Outcomes: Review of the Talking Points POA Implementation, IRISS </w:t>
      </w:r>
      <w:r>
        <w:rPr>
          <w:rFonts w:ascii="Calibri" w:eastAsia="Calibri" w:hAnsi="Calibri" w:cs="Calibri"/>
          <w:color w:val="000000"/>
          <w:sz w:val="26"/>
          <w:szCs w:val="26"/>
          <w:vertAlign w:val="superscript"/>
        </w:rPr>
        <w:t xml:space="preserve">ii </w:t>
      </w:r>
      <w:r>
        <w:rPr>
          <w:rFonts w:ascii="Calibri" w:eastAsia="Calibri" w:hAnsi="Calibri" w:cs="Calibri"/>
          <w:color w:val="000000"/>
          <w:sz w:val="19"/>
          <w:szCs w:val="19"/>
        </w:rPr>
        <w:t>Martin, J. (2013) Triad of Understanding, poster presentation at 3</w:t>
      </w:r>
      <w:r>
        <w:rPr>
          <w:rFonts w:ascii="Calibri" w:eastAsia="Calibri" w:hAnsi="Calibri" w:cs="Calibri"/>
          <w:color w:val="000000"/>
          <w:sz w:val="21"/>
          <w:szCs w:val="21"/>
          <w:vertAlign w:val="superscript"/>
        </w:rPr>
        <w:t xml:space="preserve">rd </w:t>
      </w:r>
      <w:r>
        <w:rPr>
          <w:rFonts w:ascii="Calibri" w:eastAsia="Calibri" w:hAnsi="Calibri" w:cs="Calibri"/>
          <w:color w:val="000000"/>
          <w:sz w:val="19"/>
          <w:szCs w:val="19"/>
        </w:rPr>
        <w:t xml:space="preserve">Ensact Istanbul conference  </w:t>
      </w:r>
      <w:r>
        <w:rPr>
          <w:rFonts w:ascii="Calibri" w:eastAsia="Calibri" w:hAnsi="Calibri" w:cs="Calibri"/>
          <w:color w:val="000000"/>
          <w:sz w:val="26"/>
          <w:szCs w:val="26"/>
          <w:vertAlign w:val="superscript"/>
        </w:rPr>
        <w:t>iii</w:t>
      </w:r>
      <w:r>
        <w:rPr>
          <w:rFonts w:ascii="Calibri" w:eastAsia="Calibri" w:hAnsi="Calibri" w:cs="Calibri"/>
          <w:color w:val="000000"/>
          <w:sz w:val="16"/>
          <w:szCs w:val="16"/>
        </w:rPr>
        <w:t xml:space="preserve"> </w:t>
      </w:r>
      <w:r>
        <w:rPr>
          <w:rFonts w:ascii="Calibri" w:eastAsia="Calibri" w:hAnsi="Calibri" w:cs="Calibri"/>
          <w:color w:val="000000"/>
          <w:sz w:val="19"/>
          <w:szCs w:val="19"/>
        </w:rPr>
        <w:t xml:space="preserve">Cook, A. and Miller, E. (2012) Talking Points personal outcomes approach: A Practical Guide </w:t>
      </w:r>
      <w:r>
        <w:rPr>
          <w:rFonts w:ascii="Calibri" w:eastAsia="Calibri" w:hAnsi="Calibri" w:cs="Calibri"/>
          <w:color w:val="000000"/>
          <w:sz w:val="26"/>
          <w:szCs w:val="26"/>
          <w:vertAlign w:val="superscript"/>
        </w:rPr>
        <w:t xml:space="preserve">iv </w:t>
      </w:r>
      <w:r>
        <w:rPr>
          <w:rFonts w:ascii="Calibri" w:eastAsia="Calibri" w:hAnsi="Calibri" w:cs="Calibri"/>
          <w:color w:val="000000"/>
          <w:sz w:val="19"/>
          <w:szCs w:val="19"/>
        </w:rPr>
        <w:t xml:space="preserve">Cook, A. and Miller, E. (2012) Talking Points personal outcomes approach: A Practical Guide </w:t>
      </w:r>
      <w:r>
        <w:rPr>
          <w:rFonts w:ascii="Calibri" w:eastAsia="Calibri" w:hAnsi="Calibri" w:cs="Calibri"/>
          <w:color w:val="000000"/>
          <w:sz w:val="21"/>
          <w:szCs w:val="21"/>
          <w:vertAlign w:val="superscript"/>
        </w:rPr>
        <w:t xml:space="preserve">v </w:t>
      </w:r>
      <w:r>
        <w:rPr>
          <w:rFonts w:ascii="Calibri" w:eastAsia="Calibri" w:hAnsi="Calibri" w:cs="Calibri"/>
          <w:color w:val="000000"/>
          <w:sz w:val="19"/>
          <w:szCs w:val="19"/>
        </w:rPr>
        <w:t xml:space="preserve">Miller, E. (2011) Good conversations: Assessment and planning as the building blocks of an outcomes  approach, Edinburgh: Joint Improvement Team 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8" w:line="245" w:lineRule="auto"/>
        <w:ind w:left="14" w:right="282" w:hanging="7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21"/>
          <w:szCs w:val="21"/>
          <w:vertAlign w:val="superscript"/>
        </w:rPr>
        <w:t xml:space="preserve">vi </w:t>
      </w:r>
      <w:r>
        <w:rPr>
          <w:rFonts w:ascii="Calibri" w:eastAsia="Calibri" w:hAnsi="Calibri" w:cs="Calibri"/>
          <w:color w:val="000000"/>
          <w:sz w:val="19"/>
          <w:szCs w:val="19"/>
        </w:rPr>
        <w:t>Tsegai, A. a</w:t>
      </w:r>
      <w:r>
        <w:rPr>
          <w:rFonts w:ascii="Calibri" w:eastAsia="Calibri" w:hAnsi="Calibri" w:cs="Calibri"/>
          <w:color w:val="000000"/>
          <w:sz w:val="19"/>
          <w:szCs w:val="19"/>
        </w:rPr>
        <w:t>nd Gamiz, R. (2014) "Messages for integration from working with carers", Journal of Integrated Care</w:t>
      </w:r>
      <w:r>
        <w:rPr>
          <w:rFonts w:ascii="Calibri" w:eastAsia="Calibri" w:hAnsi="Calibri" w:cs="Calibri"/>
          <w:color w:val="000000"/>
          <w:sz w:val="19"/>
          <w:szCs w:val="19"/>
        </w:rPr>
        <w:t xml:space="preserve">, Vol. 22 Iss: 3, pp.99 – 107 </w:t>
      </w:r>
    </w:p>
    <w:p w:rsidR="00CF1000" w:rsidRDefault="00685FD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284" w:lineRule="auto"/>
        <w:ind w:left="8" w:right="543" w:hanging="1"/>
        <w:rPr>
          <w:rFonts w:ascii="Calibri" w:eastAsia="Calibri" w:hAnsi="Calibri" w:cs="Calibri"/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21"/>
          <w:szCs w:val="21"/>
          <w:vertAlign w:val="superscript"/>
        </w:rPr>
        <w:t xml:space="preserve">vii </w:t>
      </w:r>
      <w:r>
        <w:rPr>
          <w:rFonts w:ascii="Calibri" w:eastAsia="Calibri" w:hAnsi="Calibri" w:cs="Calibri"/>
          <w:color w:val="000000"/>
          <w:sz w:val="19"/>
          <w:szCs w:val="19"/>
        </w:rPr>
        <w:t xml:space="preserve">Miller, E., Cook. A. and Samet, W. (2009) Philosophy and Principles Underpinning a Personal Outcomes </w:t>
      </w:r>
      <w:r>
        <w:rPr>
          <w:rFonts w:ascii="Calibri" w:eastAsia="Calibri" w:hAnsi="Calibri" w:cs="Calibri"/>
          <w:color w:val="000000"/>
          <w:sz w:val="19"/>
          <w:szCs w:val="19"/>
        </w:rPr>
        <w:lastRenderedPageBreak/>
        <w:t>Approach</w:t>
      </w:r>
      <w:r>
        <w:rPr>
          <w:rFonts w:ascii="Calibri" w:eastAsia="Calibri" w:hAnsi="Calibri" w:cs="Calibri"/>
          <w:color w:val="000000"/>
          <w:sz w:val="19"/>
          <w:szCs w:val="19"/>
        </w:rPr>
        <w:t>, Edinburgh</w:t>
      </w:r>
      <w:r>
        <w:rPr>
          <w:rFonts w:ascii="Calibri" w:eastAsia="Calibri" w:hAnsi="Calibri" w:cs="Calibri"/>
          <w:color w:val="000000"/>
          <w:sz w:val="19"/>
          <w:szCs w:val="19"/>
        </w:rPr>
        <w:t>: Joint Improvement Team</w:t>
      </w:r>
    </w:p>
    <w:sectPr w:rsidR="00CF1000">
      <w:pgSz w:w="11900" w:h="16820"/>
      <w:pgMar w:top="1426" w:right="1387" w:bottom="1831" w:left="143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000"/>
    <w:rsid w:val="00685FDF"/>
    <w:rsid w:val="00CF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A828F412-407D-6C4B-812F-DD2733E82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ersonaloutcomes.network/pon-co-ordinating-group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2163</Words>
  <Characters>12333</Characters>
  <Application>Microsoft Office Word</Application>
  <DocSecurity>0</DocSecurity>
  <Lines>102</Lines>
  <Paragraphs>28</Paragraphs>
  <ScaleCrop>false</ScaleCrop>
  <Company/>
  <LinksUpToDate>false</LinksUpToDate>
  <CharactersWithSpaces>14468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2021-03-26T14:04:00Z</dcterms:created>
  <dcterms:modified xsi:type="dcterms:W3CDTF">2021-03-26T14:04:00Z</dcterms:modified>
</cp:coreProperties>
</file>